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8"/>
    <w:p>
      <w:pPr>
        <w:pStyle w:val="Heading1"/>
      </w:pPr>
      <w:r>
        <w:t xml:space="preserve">Homiletics Analysis: 1 Corinthians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Paul addresses the Corinthian dispute over eating food sacrificed to idols (</w:t>
      </w:r>
      <w:r>
        <w:rPr>
          <w:i/>
          <w:iCs/>
        </w:rPr>
        <w:t xml:space="preserve">eidōlothyta</w:t>
      </w:r>
      <w:r>
        <w:t xml:space="preserve">), a flashpoint generated by the city’s pervasive temple culture. The chapter opens by contrasting</w:t>
      </w:r>
      <w:r>
        <w:t xml:space="preserve"> </w:t>
      </w:r>
      <w:r>
        <w:t xml:space="preserve">“knowledge”</w:t>
      </w:r>
      <w:r>
        <w:t xml:space="preserve"> </w:t>
      </w:r>
      <w:r>
        <w:t xml:space="preserve">(gnōsis) with love — knowledge puffs up, love builds up. Paul concedes the</w:t>
      </w:r>
      <w:r>
        <w:t xml:space="preserve"> </w:t>
      </w:r>
      <w:r>
        <w:t xml:space="preserve">“strong”</w:t>
      </w:r>
      <w:r>
        <w:t xml:space="preserve"> </w:t>
      </w:r>
      <w:r>
        <w:t xml:space="preserve">party’s theological claim: idols are nothing, there is one God, and food is morally neutral. But he immediately pivots: this knowledge, wielded without love, can destroy a</w:t>
      </w:r>
      <w:r>
        <w:t xml:space="preserve"> </w:t>
      </w:r>
      <w:r>
        <w:t xml:space="preserve">“weak”</w:t>
      </w:r>
      <w:r>
        <w:t xml:space="preserve"> </w:t>
      </w:r>
      <w:r>
        <w:t xml:space="preserve">brother whose conscience is not yet liberated from its former associations with idol worship. The strong believer’s freedom, exercised in full view of the weak, can embolden that weak believer to act against his own conscience — and when a conscience is violated, Christ is wounded in that person. Paul closes by making the argument personal and concrete: if food causes his brother to stumble, he will never eat meat again. The logic moves from theological concession → relational obligation → Christological stakes → personal resolve.</w:t>
      </w:r>
    </w:p>
    <w:p>
      <w:pPr>
        <w:pStyle w:val="BodyText"/>
      </w:pPr>
      <w:r>
        <w:rPr>
          <w:b/>
          <w:bCs/>
        </w:rPr>
        <w:t xml:space="preserve">This Text — Intent:</w:t>
      </w:r>
    </w:p>
    <w:p>
      <w:pPr>
        <w:pStyle w:val="BodyText"/>
      </w:pPr>
      <w:r>
        <w:t xml:space="preserve">God is seeking to dislodge the Corinthians’ (and every believer’s) default assumption that theological correctness is the primary measure of Christian maturity. The intent is to reorient the reader away from rights-consciousness toward love-consciousness — to produce a community whose first question is not</w:t>
      </w:r>
      <w:r>
        <w:t xml:space="preserve"> </w:t>
      </w:r>
      <w:r>
        <w:t xml:space="preserve">“Am I permitted?”</w:t>
      </w:r>
      <w:r>
        <w:t xml:space="preserve"> </w:t>
      </w:r>
      <w:r>
        <w:t xml:space="preserve">but</w:t>
      </w:r>
      <w:r>
        <w:t xml:space="preserve"> </w:t>
      </w:r>
      <w:r>
        <w:t xml:space="preserve">“Does this build?”</w:t>
      </w:r>
      <w:r>
        <w:t xml:space="preserve"> </w:t>
      </w:r>
      <w:r>
        <w:t xml:space="preserve">The deeper surgical move is against a particular form of pride that wraps itself in sound doctrine: the intellectually superior Christian who is simultaneously right and destructive. God intends this passage to produce sober humility in the theologically confident, active concern for the spiritually vulnerable, and a community shaped by cruciform self-limitation rather than the exercise of rights.</w:t>
      </w:r>
    </w:p>
    <w:p>
      <w:r>
        <w:pict>
          <v:rect style="width:0;height:1.5pt" o:hralign="center" o:hrstd="t" o:hr="t"/>
        </w:pict>
      </w:r>
    </w:p>
    <w:p>
      <w:pPr>
        <w:pStyle w:val="FirstParagraph"/>
      </w:pPr>
      <w:r>
        <w:rPr>
          <w:b/>
          <w:bCs/>
        </w:rPr>
        <w:t xml:space="preserve">Subject Sentence:</w:t>
      </w:r>
      <w:r>
        <w:t xml:space="preserve"> </w:t>
      </w:r>
      <w:r>
        <w:t xml:space="preserve">Knowledge without love destroys; love willingly limits freedom to protect the weak.</w:t>
      </w:r>
    </w:p>
    <w:p>
      <w:r>
        <w:pict>
          <v:rect style="width:0;height:1.5pt" o:hralign="center" o:hrstd="t" o:hr="t"/>
        </w:pict>
      </w:r>
    </w:p>
    <w:p>
      <w:pPr>
        <w:pStyle w:val="FirstParagraph"/>
      </w:pPr>
      <w:r>
        <w:rPr>
          <w:b/>
          <w:bCs/>
        </w:rPr>
        <w:t xml:space="preserve">Primary Claim:</w:t>
      </w:r>
      <w:r>
        <w:t xml:space="preserve"> </w:t>
      </w:r>
      <w:r>
        <w:t xml:space="preserve">God is confronting the Corinthian church’s knowledge-pride and demanding that theological freedom be governed by love for the weak — because what is done to a vulnerable brother is done to Christ.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w:t>
      </w:r>
      <w:r>
        <w:rPr>
          <w:b/>
          <w:bCs/>
        </w:rPr>
        <w:t xml:space="preserve"> </w:t>
      </w:r>
      <w:r>
        <w:rPr>
          <w:b/>
          <w:bCs/>
        </w:rPr>
        <w:t xml:space="preserve">“food sacrificed to idols”</w:t>
      </w:r>
      <w:r>
        <w:rPr>
          <w:b/>
          <w:bCs/>
        </w:rPr>
        <w:t xml:space="preserve"> </w:t>
      </w:r>
      <w:r>
        <w:rPr>
          <w:b/>
          <w:bCs/>
        </w:rPr>
        <w:t xml:space="preserve">— literal practice or broader principle?</w:t>
      </w:r>
    </w:p>
    <w:p>
      <w:pPr>
        <w:pStyle w:val="BodyText"/>
      </w:pPr>
      <w:r>
        <w:t xml:space="preserve">Some interpreters, particularly in Dispensational traditions, treat this passage as primarily addressing a specific first-century circumstance (temple meat, idol feasts) with limited direct application to contemporary Christian life, aside from the general principle of not causing offense. This reading is too narrow. Paul’s argument is not principally about food or temples — the food/idol context is the</w:t>
      </w:r>
      <w:r>
        <w:t xml:space="preserve"> </w:t>
      </w:r>
      <w:r>
        <w:rPr>
          <w:i/>
          <w:iCs/>
        </w:rPr>
        <w:t xml:space="preserve">vehicle</w:t>
      </w:r>
      <w:r>
        <w:t xml:space="preserve"> </w:t>
      </w:r>
      <w:r>
        <w:t xml:space="preserve">for a claim about knowledge, love, conscience, and community that applies wherever a theologically mature believer exercises a liberty that damages a spiritually vulnerable one. The Reformed and broadly evangelical consensus rightly treats chapters 8–10 as establishing permanent principles governing Christian freedom and its limits. The circumstance is historically specific; the claim is not.</w:t>
      </w:r>
    </w:p>
    <w:p>
      <w:pPr>
        <w:pStyle w:val="BodyText"/>
      </w:pPr>
      <w:r>
        <w:rPr>
          <w:b/>
          <w:bCs/>
        </w:rPr>
        <w:t xml:space="preserve">The identity of the</w:t>
      </w:r>
      <w:r>
        <w:rPr>
          <w:b/>
          <w:bCs/>
        </w:rPr>
        <w:t xml:space="preserve"> </w:t>
      </w:r>
      <w:r>
        <w:rPr>
          <w:b/>
          <w:bCs/>
        </w:rPr>
        <w:t xml:space="preserve">“weak brother”</w:t>
      </w:r>
      <w:r>
        <w:rPr>
          <w:b/>
          <w:bCs/>
        </w:rPr>
        <w:t xml:space="preserve"> </w:t>
      </w:r>
      <w:r>
        <w:rPr>
          <w:b/>
          <w:bCs/>
        </w:rPr>
        <w:t xml:space="preserve">— temporary immaturity or permanent condition?</w:t>
      </w:r>
    </w:p>
    <w:p>
      <w:pPr>
        <w:pStyle w:val="BodyText"/>
      </w:pPr>
      <w:r>
        <w:t xml:space="preserve">There is debate about whether the</w:t>
      </w:r>
      <w:r>
        <w:t xml:space="preserve"> </w:t>
      </w:r>
      <w:r>
        <w:t xml:space="preserve">“weak”</w:t>
      </w:r>
      <w:r>
        <w:t xml:space="preserve"> </w:t>
      </w:r>
      <w:r>
        <w:t xml:space="preserve">believer is someone in a temporary transitional state (recently converted from paganism, conscience still formed by idolatrous associations) or whether</w:t>
      </w:r>
      <w:r>
        <w:t xml:space="preserve"> </w:t>
      </w:r>
      <w:r>
        <w:t xml:space="preserve">“weakness”</w:t>
      </w:r>
      <w:r>
        <w:t xml:space="preserve"> </w:t>
      </w:r>
      <w:r>
        <w:t xml:space="preserve">names a more enduring category of tender conscience. Some Wesleyan interpreters tend toward the latter, using this passage to ground a permanent obligation of the mature to indefinitely accommodate the tender conscience, and sometimes to argue that entire communities should calibrate their standards to their most sensitive members. The Reformed reading qualifies this: Paul is not calling the mature to be permanently captive to the preferences of the immature. His concern is that weak believers not be</w:t>
      </w:r>
      <w:r>
        <w:t xml:space="preserve"> </w:t>
      </w:r>
      <w:r>
        <w:rPr>
          <w:i/>
          <w:iCs/>
        </w:rPr>
        <w:t xml:space="preserve">destroyed</w:t>
      </w:r>
      <w:r>
        <w:t xml:space="preserve"> </w:t>
      </w:r>
      <w:r>
        <w:t xml:space="preserve">— specifically, not be led to violate their own consciences. This is not an argument for permanent lowest-common-denominator community life; it is an argument against using freedom as a weapon against the vulnerable. Chapell’s Fallen Condition Focus applies here: the weakness Paul describes is a real human condition — imperfectly formed consciences — that requires pastoral gentleness, not theological coercion.</w:t>
      </w:r>
    </w:p>
    <w:p>
      <w:pPr>
        <w:pStyle w:val="BodyText"/>
      </w:pPr>
      <w:r>
        <w:rPr>
          <w:b/>
          <w:bCs/>
        </w:rPr>
        <w:t xml:space="preserve">“Knowledge puffs up, but love builds up”</w:t>
      </w:r>
      <w:r>
        <w:rPr>
          <w:b/>
          <w:bCs/>
        </w:rPr>
        <w:t xml:space="preserve"> </w:t>
      </w:r>
      <w:r>
        <w:rPr>
          <w:b/>
          <w:bCs/>
        </w:rPr>
        <w:t xml:space="preserve">— is Paul opposing theological knowledge itself?</w:t>
      </w:r>
    </w:p>
    <w:p>
      <w:pPr>
        <w:pStyle w:val="BodyText"/>
      </w:pPr>
      <w:r>
        <w:t xml:space="preserve">Some popular preaching traditions and charismatic/Pentecostal streams read verse 1 as a general caution against theological precision or intellectual engagement with doctrine, as though love and knowledge are in tension and love wins. This reading must be refuted: Paul is not opposing knowledge but its misuse. He immediately demonstrates sophisticated theological reasoning (vv. 4–6) and endorses the theologically informed position that idols are nothing. What Paul opposes is knowledge deployed as a social weapon — gnōsis wielded to assert superiority over less-informed brothers rather than to build them up. The problem is not knowing; the problem is knowing without loving.</w:t>
      </w:r>
    </w:p>
    <w:p>
      <w:pPr>
        <w:pStyle w:val="BodyText"/>
      </w:pPr>
      <w:r>
        <w:rPr>
          <w:b/>
          <w:bCs/>
        </w:rPr>
        <w:t xml:space="preserve">Verse 6 and Trinitarian theology:</w:t>
      </w:r>
    </w:p>
    <w:p>
      <w:pPr>
        <w:pStyle w:val="BodyText"/>
      </w:pPr>
      <w:r>
        <w:t xml:space="preserve">Paul’s formulation in verse 6 —</w:t>
      </w:r>
      <w:r>
        <w:t xml:space="preserve"> </w:t>
      </w:r>
      <w:r>
        <w:t xml:space="preserve">“one God, the Father…and one Lord, Jesus Christ”</w:t>
      </w:r>
      <w:r>
        <w:t xml:space="preserve"> </w:t>
      </w:r>
      <w:r>
        <w:t xml:space="preserve">— has attracted Arian and Unitarian readings that treat it as evidence for a hierarchical distinction between God and Christ, with Christ as a lesser divine figure. This reading fails on multiple grounds: (a) Paul is here distributing the</w:t>
      </w:r>
      <w:r>
        <w:t xml:space="preserve"> </w:t>
      </w:r>
      <w:r>
        <w:rPr>
          <w:i/>
          <w:iCs/>
        </w:rPr>
        <w:t xml:space="preserve">Shema</w:t>
      </w:r>
      <w:r>
        <w:t xml:space="preserve"> </w:t>
      </w:r>
      <w:r>
        <w:t xml:space="preserve">of Deuteronomy 6:4 between the Father and the Son — a move that</w:t>
      </w:r>
      <w:r>
        <w:t xml:space="preserve"> </w:t>
      </w:r>
      <w:r>
        <w:rPr>
          <w:i/>
          <w:iCs/>
        </w:rPr>
        <w:t xml:space="preserve">includes</w:t>
      </w:r>
      <w:r>
        <w:t xml:space="preserve"> </w:t>
      </w:r>
      <w:r>
        <w:t xml:space="preserve">Christ within the divine identity rather than subordinating him to it; (b) the parallel structure assigns to Christ the same creative and mediatorial role assigned to God —</w:t>
      </w:r>
      <w:r>
        <w:t xml:space="preserve"> </w:t>
      </w:r>
      <w:r>
        <w:t xml:space="preserve">“all things”</w:t>
      </w:r>
      <w:r>
        <w:t xml:space="preserve"> </w:t>
      </w:r>
      <w:r>
        <w:t xml:space="preserve">through Him; (c) Paul’s Christology elsewhere (Col 1:15–20, Phil 2:6–11) is incompatible with a reduced Christology. The Reformed reading, following the Nicene tradition, receives verse 6 as a high Christological confession embedded in a pastoral argument.</w:t>
      </w:r>
    </w:p>
    <w:p>
      <w:pPr>
        <w:pStyle w:val="BodyText"/>
      </w:pPr>
      <w:r>
        <w:rPr>
          <w:b/>
          <w:bCs/>
        </w:rPr>
        <w:t xml:space="preserve">The</w:t>
      </w:r>
      <w:r>
        <w:rPr>
          <w:b/>
          <w:bCs/>
        </w:rPr>
        <w:t xml:space="preserve"> </w:t>
      </w:r>
      <w:r>
        <w:rPr>
          <w:b/>
          <w:bCs/>
        </w:rPr>
        <w:t xml:space="preserve">“wound to Christ”</w:t>
      </w:r>
      <w:r>
        <w:rPr>
          <w:b/>
          <w:bCs/>
        </w:rPr>
        <w:t xml:space="preserve"> </w:t>
      </w:r>
      <w:r>
        <w:rPr>
          <w:b/>
          <w:bCs/>
        </w:rPr>
        <w:t xml:space="preserve">(v. 12) — hyperbole or genuine Christological claim?</w:t>
      </w:r>
    </w:p>
    <w:p>
      <w:pPr>
        <w:pStyle w:val="BodyText"/>
      </w:pPr>
      <w:r>
        <w:t xml:space="preserve">Some readers treat Paul’s language about sinning against Christ (v. 12) as rhetorical intensification without theological weight. This underreads the text. Paul’s language here resonates with his Damascus Road experience (</w:t>
      </w:r>
      <w:r>
        <w:t xml:space="preserve">“Why do you persecute</w:t>
      </w:r>
      <w:r>
        <w:t xml:space="preserve"> </w:t>
      </w:r>
      <w:r>
        <w:rPr>
          <w:i/>
          <w:iCs/>
        </w:rPr>
        <w:t xml:space="preserve">me</w:t>
      </w:r>
      <w:r>
        <w:t xml:space="preserve">?”</w:t>
      </w:r>
      <w:r>
        <w:t xml:space="preserve"> </w:t>
      </w:r>
      <w:r>
        <w:t xml:space="preserve">— Acts 9:4) and with his body-of-Christ ecclesiology developed at length elsewhere in 1 Corinthians. To wound a member is genuinely to wound the head. This is not rhetorical flourish; it is ecclesiological reality and should be preached with its full Christological force.</w:t>
      </w:r>
    </w:p>
    <w:p>
      <w:pPr>
        <w:pStyle w:val="BodyText"/>
      </w:pPr>
      <w:r>
        <w:rPr>
          <w:i/>
          <w:iCs/>
        </w:rPr>
        <w:t xml:space="preserve">Reformed verdict</w:t>
      </w:r>
      <w:r>
        <w:t xml:space="preserve">: The Reformed reading best accounts for the whole passage — affirming the validity of theological knowledge, grounding the obligation to love in Christological stakes, resisting both the dissolution of doctrine into sentiment and the weaponization of doctrine against the vulnerable.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14:1–15:7</w:t>
      </w:r>
      <w:r>
        <w:t xml:space="preserve"> </w:t>
      </w:r>
      <w:r>
        <w:t xml:space="preserve">— Paul’s extended parallel treatment of the</w:t>
      </w:r>
      <w:r>
        <w:t xml:space="preserve"> </w:t>
      </w:r>
      <w:r>
        <w:t xml:space="preserve">“strong”</w:t>
      </w:r>
      <w:r>
        <w:t xml:space="preserve"> </w:t>
      </w:r>
      <w:r>
        <w:t xml:space="preserve">and</w:t>
      </w:r>
      <w:r>
        <w:t xml:space="preserve"> </w:t>
      </w:r>
      <w:r>
        <w:t xml:space="preserve">“weak”</w:t>
      </w:r>
      <w:r>
        <w:t xml:space="preserve"> </w:t>
      </w:r>
      <w:r>
        <w:t xml:space="preserve">in Rome; establishes that the strong bear the burden of accommodation, grounded in Christ’s self-giving (</w:t>
      </w:r>
      <w:r>
        <w:t xml:space="preserve">“Christ did not please himself,”</w:t>
      </w:r>
      <w:r>
        <w:t xml:space="preserve"> </w:t>
      </w:r>
      <w:r>
        <w:t xml:space="preserve">15:3).</w:t>
      </w:r>
    </w:p>
    <w:p>
      <w:pPr>
        <w:numPr>
          <w:ilvl w:val="0"/>
          <w:numId w:val="1001"/>
        </w:numPr>
      </w:pPr>
      <w:r>
        <w:rPr>
          <w:b/>
          <w:bCs/>
        </w:rPr>
        <w:t xml:space="preserve">Acts 9:1–5</w:t>
      </w:r>
      <w:r>
        <w:t xml:space="preserve"> </w:t>
      </w:r>
      <w:r>
        <w:t xml:space="preserve">— Saul’s persecution of believers and the risen Christ’s identification with them (</w:t>
      </w:r>
      <w:r>
        <w:t xml:space="preserve">“Why are you persecuting</w:t>
      </w:r>
      <w:r>
        <w:t xml:space="preserve"> </w:t>
      </w:r>
      <w:r>
        <w:rPr>
          <w:i/>
          <w:iCs/>
        </w:rPr>
        <w:t xml:space="preserve">me</w:t>
      </w:r>
      <w:r>
        <w:t xml:space="preserve">?”</w:t>
      </w:r>
      <w:r>
        <w:t xml:space="preserve">); grounds the verse 12 claim that wounding a brother wounds Christ.</w:t>
      </w:r>
    </w:p>
    <w:p>
      <w:pPr>
        <w:numPr>
          <w:ilvl w:val="0"/>
          <w:numId w:val="1001"/>
        </w:numPr>
      </w:pPr>
      <w:r>
        <w:rPr>
          <w:b/>
          <w:bCs/>
        </w:rPr>
        <w:t xml:space="preserve">Mark 9:42</w:t>
      </w:r>
      <w:r>
        <w:t xml:space="preserve"> </w:t>
      </w:r>
      <w:r>
        <w:t xml:space="preserve">— Jesus’ warning about causing</w:t>
      </w:r>
      <w:r>
        <w:t xml:space="preserve"> </w:t>
      </w:r>
      <w:r>
        <w:t xml:space="preserve">“one of these little ones”</w:t>
      </w:r>
      <w:r>
        <w:t xml:space="preserve"> </w:t>
      </w:r>
      <w:r>
        <w:t xml:space="preserve">to stumble — a millstone is preferable; establishes the gravity with which Jesus regards damage to the vulnerable, which Paul’s argument presupposes.</w:t>
      </w:r>
    </w:p>
    <w:p>
      <w:pPr>
        <w:numPr>
          <w:ilvl w:val="0"/>
          <w:numId w:val="1001"/>
        </w:numPr>
      </w:pPr>
      <w:r>
        <w:rPr>
          <w:b/>
          <w:bCs/>
        </w:rPr>
        <w:t xml:space="preserve">Philippians 2:3–8</w:t>
      </w:r>
      <w:r>
        <w:t xml:space="preserve"> </w:t>
      </w:r>
      <w:r>
        <w:t xml:space="preserve">— The cruciform pattern:</w:t>
      </w:r>
      <w:r>
        <w:t xml:space="preserve"> </w:t>
      </w:r>
      <w:r>
        <w:t xml:space="preserve">“Do nothing from selfish ambition or conceit…let each of you look not only to his own interests, but also to the interests of others”</w:t>
      </w:r>
      <w:r>
        <w:t xml:space="preserve"> </w:t>
      </w:r>
      <w:r>
        <w:t xml:space="preserve">— grounded in Christ’s self-emptying; supplies the gospel motivation for Paul’s demand.</w:t>
      </w:r>
    </w:p>
    <w:p>
      <w:pPr>
        <w:numPr>
          <w:ilvl w:val="0"/>
          <w:numId w:val="1001"/>
        </w:numPr>
      </w:pPr>
      <w:r>
        <w:rPr>
          <w:b/>
          <w:bCs/>
        </w:rPr>
        <w:t xml:space="preserve">Genesis 4:9</w:t>
      </w:r>
      <w:r>
        <w:t xml:space="preserve"> </w:t>
      </w:r>
      <w:r>
        <w:t xml:space="preserve">— Cain’s</w:t>
      </w:r>
      <w:r>
        <w:t xml:space="preserve"> </w:t>
      </w:r>
      <w:r>
        <w:t xml:space="preserve">“Am I my brother’s keeper?”</w:t>
      </w:r>
      <w:r>
        <w:t xml:space="preserve"> </w:t>
      </w:r>
      <w:r>
        <w:t xml:space="preserve">— the antithesis of the ethic Paul is constructing; names the posture Paul is dismantling: the claim that my freedom is no one else’s business.</w:t>
      </w:r>
    </w:p>
    <w:p>
      <w:r>
        <w:pict>
          <v:rect style="width:0;height:1.5pt" o:hralign="center" o:hrstd="t" o:hr="t"/>
        </w:pict>
      </w:r>
    </w:p>
    <w:p>
      <w:pPr>
        <w:pStyle w:val="FirstParagraph"/>
      </w:pPr>
      <w:r>
        <w:rPr>
          <w:b/>
          <w:bCs/>
        </w:rPr>
        <w:t xml:space="preserve">Aim:</w:t>
      </w:r>
      <w:r>
        <w:t xml:space="preserve"> </w:t>
      </w:r>
      <w:r>
        <w:t xml:space="preserve">To confront the theologically confident reader with the Christological stakes of their freedom and to move them from rights-consciousness to love-consciousness in the exercise of Christian liberty.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“Now concerning food offered to idols”</w:t>
            </w:r>
            <w:r>
              <w:t xml:space="preserve"> </w:t>
            </w:r>
            <w:r>
              <w:t xml:space="preserve">— introduces the topic raised in the Corinthians’ letter</w:t>
            </w:r>
          </w:p>
        </w:tc>
        <w:tc>
          <w:tcPr/>
          <w:p>
            <w:pPr>
              <w:pStyle w:val="Compact"/>
            </w:pPr>
            <w:r>
              <w:rPr>
                <w:i/>
                <w:iCs/>
              </w:rPr>
              <w:t xml:space="preserve">Peri de</w:t>
            </w:r>
            <w:r>
              <w:t xml:space="preserve"> </w:t>
            </w:r>
            <w:r>
              <w:t xml:space="preserve">formula indicating Paul is responding to a written question from Corinth</w:t>
            </w:r>
          </w:p>
        </w:tc>
      </w:tr>
      <w:tr>
        <w:tc>
          <w:tcPr/>
          <w:p>
            <w:pPr>
              <w:pStyle w:val="Compact"/>
            </w:pPr>
            <w:r>
              <w:t xml:space="preserve">1b</w:t>
            </w:r>
          </w:p>
        </w:tc>
        <w:tc>
          <w:tcPr/>
          <w:p>
            <w:pPr>
              <w:pStyle w:val="Compact"/>
            </w:pPr>
            <w:r>
              <w:t xml:space="preserve">“We know that</w:t>
            </w:r>
            <w:r>
              <w:t xml:space="preserve"> </w:t>
            </w:r>
            <w:r>
              <w:t xml:space="preserve">‘all of us possess knowledge’</w:t>
            </w:r>
            <w:r>
              <w:t xml:space="preserve">”</w:t>
            </w:r>
            <w:r>
              <w:t xml:space="preserve"> </w:t>
            </w:r>
            <w:r>
              <w:t xml:space="preserve">— may be quoting a Corinthian slogan</w:t>
            </w:r>
          </w:p>
        </w:tc>
        <w:tc>
          <w:tcPr/>
          <w:p>
            <w:pPr>
              <w:pStyle w:val="Compact"/>
            </w:pPr>
            <w:r>
              <w:t xml:space="preserve">Gnōsis functions as a community status marker in Corinth</w:t>
            </w:r>
          </w:p>
        </w:tc>
      </w:tr>
      <w:tr>
        <w:tc>
          <w:tcPr/>
          <w:p>
            <w:pPr>
              <w:pStyle w:val="Compact"/>
            </w:pPr>
            <w:r>
              <w:t xml:space="preserve">1c</w:t>
            </w:r>
          </w:p>
        </w:tc>
        <w:tc>
          <w:tcPr/>
          <w:p>
            <w:pPr>
              <w:pStyle w:val="Compact"/>
            </w:pPr>
            <w:r>
              <w:t xml:space="preserve">“Knowledge puffs up, but love builds up”</w:t>
            </w:r>
          </w:p>
        </w:tc>
        <w:tc>
          <w:tcPr/>
          <w:p>
            <w:pPr>
              <w:pStyle w:val="Compact"/>
            </w:pPr>
            <w:r>
              <w:t xml:space="preserve">The thesis statement;</w:t>
            </w:r>
            <w:r>
              <w:t xml:space="preserve"> </w:t>
            </w:r>
            <w:r>
              <w:rPr>
                <w:i/>
                <w:iCs/>
              </w:rPr>
              <w:t xml:space="preserve">physioi</w:t>
            </w:r>
            <w:r>
              <w:t xml:space="preserve"> </w:t>
            </w:r>
            <w:r>
              <w:t xml:space="preserve">(puffs up) vs. </w:t>
            </w:r>
            <w:r>
              <w:rPr>
                <w:i/>
                <w:iCs/>
              </w:rPr>
              <w:t xml:space="preserve">oikodomeō</w:t>
            </w:r>
            <w:r>
              <w:t xml:space="preserve"> </w:t>
            </w:r>
            <w:r>
              <w:t xml:space="preserve">(builds up) — inflation vs. construction</w:t>
            </w:r>
          </w:p>
        </w:tc>
      </w:tr>
      <w:tr>
        <w:tc>
          <w:tcPr/>
          <w:p>
            <w:pPr>
              <w:pStyle w:val="Compact"/>
            </w:pPr>
            <w:r>
              <w:t xml:space="preserve">2</w:t>
            </w:r>
          </w:p>
        </w:tc>
        <w:tc>
          <w:tcPr/>
          <w:p>
            <w:pPr>
              <w:pStyle w:val="Compact"/>
            </w:pPr>
            <w:r>
              <w:t xml:space="preserve">The person who thinks he knows does not yet know as he ought to know</w:t>
            </w:r>
          </w:p>
        </w:tc>
        <w:tc>
          <w:tcPr/>
          <w:p>
            <w:pPr>
              <w:pStyle w:val="Compact"/>
            </w:pPr>
            <w:r>
              <w:t xml:space="preserve">Epistemological humility: incomplete knowledge is worse than ignorance because it produces false confidence</w:t>
            </w:r>
          </w:p>
        </w:tc>
      </w:tr>
      <w:tr>
        <w:tc>
          <w:tcPr/>
          <w:p>
            <w:pPr>
              <w:pStyle w:val="Compact"/>
            </w:pPr>
            <w:r>
              <w:t xml:space="preserve">3</w:t>
            </w:r>
          </w:p>
        </w:tc>
        <w:tc>
          <w:tcPr/>
          <w:p>
            <w:pPr>
              <w:pStyle w:val="Compact"/>
            </w:pPr>
            <w:r>
              <w:t xml:space="preserve">“But if anyone loves God, he is known by God”</w:t>
            </w:r>
          </w:p>
        </w:tc>
        <w:tc>
          <w:tcPr/>
          <w:p>
            <w:pPr>
              <w:pStyle w:val="Compact"/>
            </w:pPr>
            <w:r>
              <w:t xml:space="preserve">Love, not knowledge, is the sign of genuine relationship with God; the passive</w:t>
            </w:r>
            <w:r>
              <w:t xml:space="preserve"> </w:t>
            </w:r>
            <w:r>
              <w:t xml:space="preserve">“known by God”</w:t>
            </w:r>
            <w:r>
              <w:t xml:space="preserve"> </w:t>
            </w:r>
            <w:r>
              <w:t xml:space="preserve">is significant — the direction is God-to-us before us-to-God</w:t>
            </w:r>
          </w:p>
        </w:tc>
      </w:tr>
      <w:tr>
        <w:tc>
          <w:tcPr/>
          <w:p>
            <w:pPr>
              <w:pStyle w:val="Compact"/>
            </w:pPr>
            <w:r>
              <w:t xml:space="preserve">4–5</w:t>
            </w:r>
          </w:p>
        </w:tc>
        <w:tc>
          <w:tcPr/>
          <w:p>
            <w:pPr>
              <w:pStyle w:val="Compact"/>
            </w:pPr>
            <w:r>
              <w:t xml:space="preserve">Theological statement: idols are nothing; there are many</w:t>
            </w:r>
            <w:r>
              <w:t xml:space="preserve"> </w:t>
            </w:r>
            <w:r>
              <w:t xml:space="preserve">“gods”</w:t>
            </w:r>
            <w:r>
              <w:t xml:space="preserve"> </w:t>
            </w:r>
            <w:r>
              <w:t xml:space="preserve">and</w:t>
            </w:r>
            <w:r>
              <w:t xml:space="preserve"> </w:t>
            </w:r>
            <w:r>
              <w:t xml:space="preserve">“lords”</w:t>
            </w:r>
            <w:r>
              <w:t xml:space="preserve"> </w:t>
            </w:r>
            <w:r>
              <w:t xml:space="preserve">but they have no real existence</w:t>
            </w:r>
          </w:p>
        </w:tc>
        <w:tc>
          <w:tcPr/>
          <w:p>
            <w:pPr>
              <w:pStyle w:val="Compact"/>
            </w:pPr>
            <w:r>
              <w:t xml:space="preserve">Paul grants the strong party’s premise; this is not sarcasm</w:t>
            </w:r>
          </w:p>
        </w:tc>
      </w:tr>
      <w:tr>
        <w:tc>
          <w:tcPr/>
          <w:p>
            <w:pPr>
              <w:pStyle w:val="Compact"/>
            </w:pPr>
            <w:r>
              <w:t xml:space="preserve">6</w:t>
            </w:r>
          </w:p>
        </w:tc>
        <w:tc>
          <w:tcPr/>
          <w:p>
            <w:pPr>
              <w:pStyle w:val="Compact"/>
            </w:pPr>
            <w:r>
              <w:t xml:space="preserve">“Yet for us there is one God, the Father…and one Lord, Jesus Christ”</w:t>
            </w:r>
          </w:p>
        </w:tc>
        <w:tc>
          <w:tcPr/>
          <w:p>
            <w:pPr>
              <w:pStyle w:val="Compact"/>
            </w:pPr>
            <w:r>
              <w:t xml:space="preserve">The distributed</w:t>
            </w:r>
            <w:r>
              <w:t xml:space="preserve"> </w:t>
            </w:r>
            <w:r>
              <w:rPr>
                <w:i/>
                <w:iCs/>
              </w:rPr>
              <w:t xml:space="preserve">Shema</w:t>
            </w:r>
            <w:r>
              <w:t xml:space="preserve">; a compressed creedal statement of Christian monotheism with high Christology embedded</w:t>
            </w:r>
          </w:p>
        </w:tc>
      </w:tr>
      <w:tr>
        <w:tc>
          <w:tcPr/>
          <w:p>
            <w:pPr>
              <w:pStyle w:val="Compact"/>
            </w:pPr>
            <w:r>
              <w:t xml:space="preserve">7a</w:t>
            </w:r>
          </w:p>
        </w:tc>
        <w:tc>
          <w:tcPr/>
          <w:p>
            <w:pPr>
              <w:pStyle w:val="Compact"/>
            </w:pPr>
            <w:r>
              <w:t xml:space="preserve">“However, not all possess this knowledge”</w:t>
            </w:r>
          </w:p>
        </w:tc>
        <w:tc>
          <w:tcPr/>
          <w:p>
            <w:pPr>
              <w:pStyle w:val="Compact"/>
            </w:pPr>
            <w:r>
              <w:t xml:space="preserve">The critical turn — the concession of vv. 4–6 does not apply universally</w:t>
            </w:r>
          </w:p>
        </w:tc>
      </w:tr>
      <w:tr>
        <w:tc>
          <w:tcPr/>
          <w:p>
            <w:pPr>
              <w:pStyle w:val="Compact"/>
            </w:pPr>
            <w:r>
              <w:t xml:space="preserve">7b</w:t>
            </w:r>
          </w:p>
        </w:tc>
        <w:tc>
          <w:tcPr/>
          <w:p>
            <w:pPr>
              <w:pStyle w:val="Compact"/>
            </w:pPr>
            <w:r>
              <w:t xml:space="preserve">Some eat food as genuinely offered to an idol; their conscience is defiled</w:t>
            </w:r>
          </w:p>
        </w:tc>
        <w:tc>
          <w:tcPr/>
          <w:p>
            <w:pPr>
              <w:pStyle w:val="Compact"/>
            </w:pPr>
            <w:r>
              <w:t xml:space="preserve">The</w:t>
            </w:r>
            <w:r>
              <w:t xml:space="preserve"> </w:t>
            </w:r>
            <w:r>
              <w:t xml:space="preserve">“weak”</w:t>
            </w:r>
            <w:r>
              <w:t xml:space="preserve"> </w:t>
            </w:r>
            <w:r>
              <w:t xml:space="preserve">believer’s conscience is formed by prior idolatrous experience; eating violates it even if the theology is wrong</w:t>
            </w:r>
          </w:p>
        </w:tc>
      </w:tr>
      <w:tr>
        <w:tc>
          <w:tcPr/>
          <w:p>
            <w:pPr>
              <w:pStyle w:val="Compact"/>
            </w:pPr>
            <w:r>
              <w:t xml:space="preserve">8</w:t>
            </w:r>
          </w:p>
        </w:tc>
        <w:tc>
          <w:tcPr/>
          <w:p>
            <w:pPr>
              <w:pStyle w:val="Compact"/>
            </w:pPr>
            <w:r>
              <w:t xml:space="preserve">Food does not commend us to God — we are no better or worse for eating or abstaining</w:t>
            </w:r>
          </w:p>
        </w:tc>
        <w:tc>
          <w:tcPr/>
          <w:p>
            <w:pPr>
              <w:pStyle w:val="Compact"/>
            </w:pPr>
            <w:r>
              <w:t xml:space="preserve">Neutral status of food established; removes any spiritual superiority from either choice</w:t>
            </w:r>
          </w:p>
        </w:tc>
      </w:tr>
      <w:tr>
        <w:tc>
          <w:tcPr/>
          <w:p>
            <w:pPr>
              <w:pStyle w:val="Compact"/>
            </w:pPr>
            <w:r>
              <w:t xml:space="preserve">9</w:t>
            </w:r>
          </w:p>
        </w:tc>
        <w:tc>
          <w:tcPr/>
          <w:p>
            <w:pPr>
              <w:pStyle w:val="Compact"/>
            </w:pPr>
            <w:r>
              <w:t xml:space="preserve">“But take care that this right of yours does not somehow become a stumbling block to the weak”</w:t>
            </w:r>
          </w:p>
        </w:tc>
        <w:tc>
          <w:tcPr/>
          <w:p>
            <w:pPr>
              <w:pStyle w:val="Compact"/>
            </w:pPr>
            <w:r>
              <w:t xml:space="preserve">The warning;</w:t>
            </w:r>
            <w:r>
              <w:t xml:space="preserve"> </w:t>
            </w:r>
            <w:r>
              <w:rPr>
                <w:i/>
                <w:iCs/>
              </w:rPr>
              <w:t xml:space="preserve">exousia</w:t>
            </w:r>
            <w:r>
              <w:t xml:space="preserve"> </w:t>
            </w:r>
            <w:r>
              <w:t xml:space="preserve">(right, authority, freedom) is the key word — freedom itself can be destructive</w:t>
            </w:r>
          </w:p>
        </w:tc>
      </w:tr>
      <w:tr>
        <w:tc>
          <w:tcPr/>
          <w:p>
            <w:pPr>
              <w:pStyle w:val="Compact"/>
            </w:pPr>
            <w:r>
              <w:t xml:space="preserve">10</w:t>
            </w:r>
          </w:p>
        </w:tc>
        <w:tc>
          <w:tcPr/>
          <w:p>
            <w:pPr>
              <w:pStyle w:val="Compact"/>
            </w:pPr>
            <w:r>
              <w:t xml:space="preserve">The scenario: if the weak see you eating in an idol’s temple, their conscience is</w:t>
            </w:r>
            <w:r>
              <w:t xml:space="preserve"> </w:t>
            </w:r>
            <w:r>
              <w:t xml:space="preserve">“built up”</w:t>
            </w:r>
            <w:r>
              <w:t xml:space="preserve"> </w:t>
            </w:r>
            <w:r>
              <w:t xml:space="preserve">(ironically) to eat — against their own conscience</w:t>
            </w:r>
          </w:p>
        </w:tc>
        <w:tc>
          <w:tcPr/>
          <w:p>
            <w:pPr>
              <w:pStyle w:val="Compact"/>
            </w:pPr>
            <w:r>
              <w:t xml:space="preserve">Paul’s ironic use of</w:t>
            </w:r>
            <w:r>
              <w:t xml:space="preserve"> </w:t>
            </w:r>
            <w:r>
              <w:rPr>
                <w:i/>
                <w:iCs/>
              </w:rPr>
              <w:t xml:space="preserve">oikodomeō</w:t>
            </w:r>
            <w:r>
              <w:t xml:space="preserve"> </w:t>
            </w:r>
            <w:r>
              <w:t xml:space="preserve">from v. 1 — the same</w:t>
            </w:r>
            <w:r>
              <w:t xml:space="preserve"> </w:t>
            </w:r>
            <w:r>
              <w:t xml:space="preserve">“building up”</w:t>
            </w:r>
            <w:r>
              <w:t xml:space="preserve"> </w:t>
            </w:r>
            <w:r>
              <w:t xml:space="preserve">language now applied destructively</w:t>
            </w:r>
          </w:p>
        </w:tc>
      </w:tr>
      <w:tr>
        <w:tc>
          <w:tcPr/>
          <w:p>
            <w:pPr>
              <w:pStyle w:val="Compact"/>
            </w:pPr>
            <w:r>
              <w:t xml:space="preserve">11</w:t>
            </w:r>
          </w:p>
        </w:tc>
        <w:tc>
          <w:tcPr/>
          <w:p>
            <w:pPr>
              <w:pStyle w:val="Compact"/>
            </w:pPr>
            <w:r>
              <w:t xml:space="preserve">“And so by your knowledge this weak person is destroyed, the brother for whom Christ died”</w:t>
            </w:r>
          </w:p>
        </w:tc>
        <w:tc>
          <w:tcPr/>
          <w:p>
            <w:pPr>
              <w:pStyle w:val="Compact"/>
            </w:pPr>
            <w:r>
              <w:t xml:space="preserve">The Christological stakes:</w:t>
            </w:r>
            <w:r>
              <w:t xml:space="preserve"> </w:t>
            </w:r>
            <w:r>
              <w:t xml:space="preserve">“for whom Christ died”</w:t>
            </w:r>
            <w:r>
              <w:t xml:space="preserve"> </w:t>
            </w:r>
            <w:r>
              <w:t xml:space="preserve">— Christ’s atoning sacrifice defines this person’s value; destroying him is destroying someone Christ valued infinitely</w:t>
            </w:r>
          </w:p>
        </w:tc>
      </w:tr>
      <w:tr>
        <w:tc>
          <w:tcPr/>
          <w:p>
            <w:pPr>
              <w:pStyle w:val="Compact"/>
            </w:pPr>
            <w:r>
              <w:t xml:space="preserve">12</w:t>
            </w:r>
          </w:p>
        </w:tc>
        <w:tc>
          <w:tcPr/>
          <w:p>
            <w:pPr>
              <w:pStyle w:val="Compact"/>
            </w:pPr>
            <w:r>
              <w:t xml:space="preserve">To sin against a brother and wound his conscience is to sin against Christ</w:t>
            </w:r>
          </w:p>
        </w:tc>
        <w:tc>
          <w:tcPr/>
          <w:p>
            <w:pPr>
              <w:pStyle w:val="Compact"/>
            </w:pPr>
            <w:r>
              <w:t xml:space="preserve">Explicit identification of the wounded brother with Christ; echoes Acts 9</w:t>
            </w:r>
          </w:p>
        </w:tc>
      </w:tr>
      <w:tr>
        <w:tc>
          <w:tcPr/>
          <w:p>
            <w:pPr>
              <w:pStyle w:val="Compact"/>
            </w:pPr>
            <w:r>
              <w:t xml:space="preserve">13</w:t>
            </w:r>
          </w:p>
        </w:tc>
        <w:tc>
          <w:tcPr/>
          <w:p>
            <w:pPr>
              <w:pStyle w:val="Compact"/>
            </w:pPr>
            <w:r>
              <w:t xml:space="preserve">Personal resolve:</w:t>
            </w:r>
            <w:r>
              <w:t xml:space="preserve"> </w:t>
            </w:r>
            <w:r>
              <w:t xml:space="preserve">“if food makes my brother stumble, I will never eat meat again”</w:t>
            </w:r>
          </w:p>
        </w:tc>
        <w:tc>
          <w:tcPr/>
          <w:p>
            <w:pPr>
              <w:pStyle w:val="Compact"/>
            </w:pPr>
            <w:r>
              <w:t xml:space="preserve">Paul personalizes the argument; the resolution is hyperbolic in form but absolute in principle — self-limitation as love’s concrete expression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Knowledge Problem: Knowledge Inflates; Love Builds</w:t>
            </w:r>
          </w:p>
        </w:tc>
      </w:tr>
      <w:tr>
        <w:tc>
          <w:tcPr/>
          <w:p>
            <w:pPr>
              <w:pStyle w:val="Compact"/>
            </w:pPr>
            <w:r>
              <w:t xml:space="preserve">2</w:t>
            </w:r>
          </w:p>
        </w:tc>
        <w:tc>
          <w:tcPr/>
          <w:p>
            <w:pPr>
              <w:pStyle w:val="Compact"/>
            </w:pPr>
            <w:r>
              <w:t xml:space="preserve">4–6</w:t>
            </w:r>
          </w:p>
        </w:tc>
        <w:tc>
          <w:tcPr/>
          <w:p>
            <w:pPr>
              <w:pStyle w:val="Compact"/>
            </w:pPr>
            <w:r>
              <w:t xml:space="preserve">The Theological Concession: Idols Are Nothing; One God, One Lord</w:t>
            </w:r>
          </w:p>
        </w:tc>
      </w:tr>
      <w:tr>
        <w:tc>
          <w:tcPr/>
          <w:p>
            <w:pPr>
              <w:pStyle w:val="Compact"/>
            </w:pPr>
            <w:r>
              <w:t xml:space="preserve">3</w:t>
            </w:r>
          </w:p>
        </w:tc>
        <w:tc>
          <w:tcPr/>
          <w:p>
            <w:pPr>
              <w:pStyle w:val="Compact"/>
            </w:pPr>
            <w:r>
              <w:t xml:space="preserve">7–9</w:t>
            </w:r>
          </w:p>
        </w:tc>
        <w:tc>
          <w:tcPr/>
          <w:p>
            <w:pPr>
              <w:pStyle w:val="Compact"/>
            </w:pPr>
            <w:r>
              <w:t xml:space="preserve">The Pastoral Complication: Not Everyone Has This Knowledge</w:t>
            </w:r>
          </w:p>
        </w:tc>
      </w:tr>
      <w:tr>
        <w:tc>
          <w:tcPr/>
          <w:p>
            <w:pPr>
              <w:pStyle w:val="Compact"/>
            </w:pPr>
            <w:r>
              <w:t xml:space="preserve">4</w:t>
            </w:r>
          </w:p>
        </w:tc>
        <w:tc>
          <w:tcPr/>
          <w:p>
            <w:pPr>
              <w:pStyle w:val="Compact"/>
            </w:pPr>
            <w:r>
              <w:t xml:space="preserve">10–12</w:t>
            </w:r>
          </w:p>
        </w:tc>
        <w:tc>
          <w:tcPr/>
          <w:p>
            <w:pPr>
              <w:pStyle w:val="Compact"/>
            </w:pPr>
            <w:r>
              <w:t xml:space="preserve">The Christological Stakes: Destroying a Brother Is Wounding Christ</w:t>
            </w:r>
          </w:p>
        </w:tc>
      </w:tr>
      <w:tr>
        <w:tc>
          <w:tcPr/>
          <w:p>
            <w:pPr>
              <w:pStyle w:val="Compact"/>
            </w:pPr>
            <w:r>
              <w:t xml:space="preserve">5</w:t>
            </w:r>
          </w:p>
        </w:tc>
        <w:tc>
          <w:tcPr/>
          <w:p>
            <w:pPr>
              <w:pStyle w:val="Compact"/>
            </w:pPr>
            <w:r>
              <w:t xml:space="preserve">13</w:t>
            </w:r>
          </w:p>
        </w:tc>
        <w:tc>
          <w:tcPr/>
          <w:p>
            <w:pPr>
              <w:pStyle w:val="Compact"/>
            </w:pPr>
            <w:r>
              <w:t xml:space="preserve">The Personal Resolution: Love Chooses Self-Limitation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Knowledge without love destroys; love willingly limits freedom to protect the weak.</w:t>
      </w:r>
    </w:p>
    <w:p>
      <w:pPr>
        <w:pStyle w:val="BodyText"/>
      </w:pPr>
      <w:r>
        <w:rPr>
          <w:b/>
          <w:bCs/>
        </w:rPr>
        <w:t xml:space="preserve">Primary Claim:</w:t>
      </w:r>
      <w:r>
        <w:t xml:space="preserve"> </w:t>
      </w:r>
      <w:r>
        <w:t xml:space="preserve">God is confronting the Corinthian church’s knowledge-pride and demanding that theological freedom be governed by love for the weak — because what is done to a vulnerable brother is done to Christ.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 theological maturity actually looks like.</w:t>
      </w:r>
      <w:r>
        <w:t xml:space="preserve"> </w:t>
      </w:r>
      <w:r>
        <w:t xml:space="preserve">The Corinthians assumed that knowing rightly was the mark of maturity. Paul inverts this: the most sophisticated theological knowledge, if it is not calibrating itself to the vulnerability of others, is not mature — it is inflated. Genuine maturity is measured not by the sophistication of what you know but by whether your knowledge serves others or serves your ego. Take stock of the ways you carry your theological understanding — does it make you patient with those who know less, or quietly superior to them?</w:t>
      </w:r>
    </w:p>
    <w:p>
      <w:pPr>
        <w:pStyle w:val="BodyText"/>
      </w:pPr>
      <w:r>
        <w:rPr>
          <w:b/>
          <w:bCs/>
        </w:rPr>
        <w:t xml:space="preserve">2.</w:t>
      </w:r>
      <w:r>
        <w:rPr>
          <w:b/>
          <w:bCs/>
        </w:rPr>
        <w:t xml:space="preserve"> </w:t>
      </w:r>
      <w:r>
        <w:rPr>
          <w:b/>
          <w:bCs/>
          <w:i/>
          <w:iCs/>
        </w:rPr>
        <w:t xml:space="preserve">(Mind/Belief)</w:t>
      </w:r>
      <w:r>
        <w:rPr>
          <w:b/>
          <w:bCs/>
        </w:rPr>
        <w:t xml:space="preserve"> </w:t>
      </w:r>
      <w:r>
        <w:rPr>
          <w:b/>
          <w:bCs/>
        </w:rPr>
        <w:t xml:space="preserve">Receive the theological weight of</w:t>
      </w:r>
      <w:r>
        <w:rPr>
          <w:b/>
          <w:bCs/>
        </w:rPr>
        <w:t xml:space="preserve"> </w:t>
      </w:r>
      <w:r>
        <w:rPr>
          <w:b/>
          <w:bCs/>
        </w:rPr>
        <w:t xml:space="preserve">“for whom Christ died”</w:t>
      </w:r>
      <w:r>
        <w:rPr>
          <w:b/>
          <w:bCs/>
        </w:rPr>
        <w:t xml:space="preserve"> </w:t>
      </w:r>
      <w:r>
        <w:rPr>
          <w:b/>
          <w:bCs/>
        </w:rPr>
        <w:t xml:space="preserve">before making decisions about your freedom.</w:t>
      </w:r>
      <w:r>
        <w:t xml:space="preserve"> </w:t>
      </w:r>
      <w:r>
        <w:t xml:space="preserve">Paul could have said</w:t>
      </w:r>
      <w:r>
        <w:t xml:space="preserve"> </w:t>
      </w:r>
      <w:r>
        <w:t xml:space="preserve">“the weak brother.”</w:t>
      </w:r>
      <w:r>
        <w:t xml:space="preserve"> </w:t>
      </w:r>
      <w:r>
        <w:t xml:space="preserve">He said</w:t>
      </w:r>
      <w:r>
        <w:t xml:space="preserve"> </w:t>
      </w:r>
      <w:r>
        <w:t xml:space="preserve">“the brother for whom Christ died.”</w:t>
      </w:r>
      <w:r>
        <w:t xml:space="preserve"> </w:t>
      </w:r>
      <w:r>
        <w:t xml:space="preserve">Before you exercise a Christian liberty that another believer is watching, you are not just making a personal decision — you are making a decision about someone Christ considered worth dying for. The infinite worth Christ assigned to that person by his death must recalibrate what you consider a trivial choice.</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Let the grief of wounding Christ govern your affections where rules cannot reach.</w:t>
      </w:r>
      <w:r>
        <w:t xml:space="preserve"> </w:t>
      </w:r>
      <w:r>
        <w:t xml:space="preserve">Paul does not give the Corinthians a law about temple meat. He gives them a reality: sin against a brother, sin against Christ. Rules can be parsed, but grief cannot. If you genuinely love Christ, the knowledge that careless exercise of your freedom wounds him should reach places that no regulatory framework ever could. Ask whether your grief over a brother’s stumbling is proportionate to what Paul says is at stake — or whether you have been largely indifferent.</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Repent of the particular pride that hides behind sound doctrine.</w:t>
      </w:r>
      <w:r>
        <w:t xml:space="preserve"> </w:t>
      </w:r>
      <w:r>
        <w:t xml:space="preserve">The Corinthian</w:t>
      </w:r>
      <w:r>
        <w:t xml:space="preserve"> </w:t>
      </w:r>
      <w:r>
        <w:t xml:space="preserve">“strong”</w:t>
      </w:r>
      <w:r>
        <w:t xml:space="preserve"> </w:t>
      </w:r>
      <w:r>
        <w:t xml:space="preserve">were not wrong theologically — they were proud relationally. This is one of the most durable forms of Christian pride precisely because it feels like faithfulness: holding the correct position, refusing to capitulate to weaker brothers’ squeamishness, defending truth against sentiment. But when right doctrine is used to dismiss the vulnerable, it has become a weapon rather than a gift. Bring this specific pride — knowledge-pride dressed as fidelity — before God.</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Identify one concrete freedom you currently exercise that a spiritually younger or more vulnerable believer is watching — and choose to limit it.</w:t>
      </w:r>
      <w:r>
        <w:t xml:space="preserve"> </w:t>
      </w:r>
      <w:r>
        <w:t xml:space="preserve">Paul’s resolution in verse 13 is radically concrete: not</w:t>
      </w:r>
      <w:r>
        <w:t xml:space="preserve"> </w:t>
      </w:r>
      <w:r>
        <w:t xml:space="preserve">“I will be more careful,”</w:t>
      </w:r>
      <w:r>
        <w:t xml:space="preserve"> </w:t>
      </w:r>
      <w:r>
        <w:t xml:space="preserve">but</w:t>
      </w:r>
      <w:r>
        <w:t xml:space="preserve"> </w:t>
      </w:r>
      <w:r>
        <w:t xml:space="preserve">“I will never eat meat again.”</w:t>
      </w:r>
      <w:r>
        <w:t xml:space="preserve"> </w:t>
      </w:r>
      <w:r>
        <w:t xml:space="preserve">The principle is not vague self-denial; it is the specific, named surrender of a specific liberty for the sake of a specific person. Name the liberty. Name the person who is watching. Make the decision. This is what love in Paul’s vocabulary looks like — not sentiment, but chosen self-limitation.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Christian freedom is real, theologically grounded, and not to be surrendered to superstition — but that it is also never absolute, because it operates within a community of people with varying degrees of formation whose consciences are genuinely at stake. The chapter’s embedded creedal statement (v. 6) grounds the entire argument in Christian monotheism: there is one God and one Lord, and every exercise of Christian freedom takes place before him and in relation to those for whom Christ died. The most theologically significant move in the passage is Paul’s equation in verse 12 of damage done to a vulnerable brother with damage done to Christ himself — establishing that the body of Christ is not a metaphor for community solidarity but a theological reality in which the treatment of members reflects directly on the head.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locus classicus for the Reformed understanding of Christian liberty and its limits — the tradition consistently affirms that believers are genuinely free from the law as a means of justification, but that this freedom is never a license for self-interest. The passage also illustrates the Reformation’s characteristic insistence that sound doctrine and genuine love are not alternatives: Paul argues</w:t>
      </w:r>
      <w:r>
        <w:t xml:space="preserve"> </w:t>
      </w:r>
      <w:r>
        <w:rPr>
          <w:i/>
          <w:iCs/>
        </w:rPr>
        <w:t xml:space="preserve">through</w:t>
      </w:r>
      <w:r>
        <w:t xml:space="preserve"> </w:t>
      </w:r>
      <w:r>
        <w:t xml:space="preserve">theology, not</w:t>
      </w:r>
      <w:r>
        <w:t xml:space="preserve"> </w:t>
      </w:r>
      <w:r>
        <w:rPr>
          <w:i/>
          <w:iCs/>
        </w:rPr>
        <w:t xml:space="preserve">away</w:t>
      </w:r>
      <w:r>
        <w:t xml:space="preserve"> </w:t>
      </w:r>
      <w:r>
        <w:t xml:space="preserve">from it. Keller’s idol-diagnosis lens illuminates the specific form of idolatry Paul is addressing: the Corinthians had exchanged the worship of literal idols for the worship of their own theological sophistication — gnōsis had become their functional savior, the thing that made them superior, the identity they protected. The gospel confronts this by pointing to the cross: Christ did not use his infinite theological</w:t>
      </w:r>
      <w:r>
        <w:t xml:space="preserve"> </w:t>
      </w:r>
      <w:r>
        <w:t xml:space="preserve">“rightness”</w:t>
      </w:r>
      <w:r>
        <w:t xml:space="preserve"> </w:t>
      </w:r>
      <w:r>
        <w:t xml:space="preserve">to establish his superiority over us; he used it to die for us. That same cruciform pattern is what Paul demands of the strong — not the surrender of their knowledge, but the surrender of their right to wield it without love.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may be entirely right — and still be doing something deeply wrong. The knowledge that idols are nothing, that you are free, that the weaker brother’s anxiety is theologically unfounded — all of that can be perfectly accurate and still leave you standing over a destroyed brother, having sinned against Christ in the process. The measure of your maturity is not whether your theology passes scrutiny. It is whether your freedom is governed by love for the person across from you — the person Christ considered worth dying for. Stop asking</w:t>
      </w:r>
      <w:r>
        <w:t xml:space="preserve"> </w:t>
      </w:r>
      <w:r>
        <w:t xml:space="preserve">“Am I permitted?”</w:t>
      </w:r>
      <w:r>
        <w:t xml:space="preserve"> </w:t>
      </w:r>
      <w:r>
        <w:t xml:space="preserve">Start asking</w:t>
      </w:r>
      <w:r>
        <w:t xml:space="preserve"> </w:t>
      </w:r>
      <w:r>
        <w:t xml:space="preserve">“Does this build?”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general principle of</w:t>
      </w:r>
      <w:r>
        <w:rPr>
          <w:b/>
          <w:bCs/>
        </w:rPr>
        <w:t xml:space="preserve"> </w:t>
      </w:r>
      <w:r>
        <w:rPr>
          <w:b/>
          <w:bCs/>
        </w:rPr>
        <w:t xml:space="preserve">“being considerate.”</w:t>
      </w:r>
      <w:r>
        <w:t xml:space="preserve"> </w:t>
      </w:r>
      <w:r>
        <w:t xml:space="preserve">The most common homiletical failure here is domesticating Paul’s argument into a lesson about being thoughtful and sensitive toward others — a life-skills application that could fit any secular ethics discussion. Paul’s argument is specifically Christological: what is done to the weak brother is done to Christ. If the sermon doesn’t land on verse 12 with its full weight and keep it there, the passage has been under-preached. The stakes are not interpersonal courtesy; they are Christological.</w:t>
      </w:r>
    </w:p>
    <w:p>
      <w:pPr>
        <w:numPr>
          <w:ilvl w:val="0"/>
          <w:numId w:val="1002"/>
        </w:numPr>
      </w:pPr>
      <w:r>
        <w:rPr>
          <w:b/>
          <w:bCs/>
        </w:rPr>
        <w:t xml:space="preserve">Preaching the</w:t>
      </w:r>
      <w:r>
        <w:rPr>
          <w:b/>
          <w:bCs/>
        </w:rPr>
        <w:t xml:space="preserve"> </w:t>
      </w:r>
      <w:r>
        <w:rPr>
          <w:b/>
          <w:bCs/>
        </w:rPr>
        <w:t xml:space="preserve">“weak”</w:t>
      </w:r>
      <w:r>
        <w:rPr>
          <w:b/>
          <w:bCs/>
        </w:rPr>
        <w:t xml:space="preserve"> </w:t>
      </w:r>
      <w:r>
        <w:rPr>
          <w:b/>
          <w:bCs/>
        </w:rPr>
        <w:t xml:space="preserve">as normative and demanding permanent lowest-common-denominator community standards.</w:t>
      </w:r>
      <w:r>
        <w:t xml:space="preserve"> </w:t>
      </w:r>
      <w:r>
        <w:t xml:space="preserve">Paul is not calling mature believers to be indefinitely constrained by the preferences or anxieties of immature ones. He is warning against a specific danger — leading a weak believer to act against his own conscience. The passage is not a mandate for permanent accommodation to the most sensitive member; it is a demand for active, loving attention to spiritual vulnerability. Over-applying it produces communities where the least-formed members functionally set the norms for everyone.</w:t>
      </w:r>
    </w:p>
    <w:p>
      <w:pPr>
        <w:numPr>
          <w:ilvl w:val="0"/>
          <w:numId w:val="1002"/>
        </w:numPr>
      </w:pPr>
      <w:r>
        <w:rPr>
          <w:b/>
          <w:bCs/>
        </w:rPr>
        <w:t xml:space="preserve">Missing the knowledge-pride target.</w:t>
      </w:r>
      <w:r>
        <w:t xml:space="preserve"> </w:t>
      </w:r>
      <w:r>
        <w:t xml:space="preserve">The passage’s primary diagnostic is not</w:t>
      </w:r>
      <w:r>
        <w:t xml:space="preserve"> </w:t>
      </w:r>
      <w:r>
        <w:t xml:space="preserve">“people who eat meat at temples”</w:t>
      </w:r>
      <w:r>
        <w:t xml:space="preserve"> </w:t>
      </w:r>
      <w:r>
        <w:t xml:space="preserve">— it is</w:t>
      </w:r>
      <w:r>
        <w:t xml:space="preserve"> </w:t>
      </w:r>
      <w:r>
        <w:t xml:space="preserve">“people who are right and proud of it.”</w:t>
      </w:r>
      <w:r>
        <w:t xml:space="preserve"> </w:t>
      </w:r>
      <w:r>
        <w:t xml:space="preserve">The contemporary application is not primarily about food; it is about any domain in which theological sophistication becomes a marker of superiority over others in the community. The expositor must do the work of transposing the first-century circumstance into contemporary equivalents without losing the specificity of the diagnosis: this is the pride that hides behind being correct.</w:t>
      </w:r>
    </w:p>
    <w:p>
      <w:pPr>
        <w:numPr>
          <w:ilvl w:val="0"/>
          <w:numId w:val="1002"/>
        </w:numPr>
      </w:pPr>
      <w:r>
        <w:rPr>
          <w:b/>
          <w:bCs/>
        </w:rPr>
        <w:t xml:space="preserve">Treating verse 6 as a subordinationist proof text.</w:t>
      </w:r>
      <w:r>
        <w:t xml:space="preserve"> </w:t>
      </w:r>
      <w:r>
        <w:t xml:space="preserve">The Arian misreading of Paul’s</w:t>
      </w:r>
      <w:r>
        <w:t xml:space="preserve"> </w:t>
      </w:r>
      <w:r>
        <w:t xml:space="preserve">“one God, the Father…one Lord, Jesus Christ”</w:t>
      </w:r>
      <w:r>
        <w:t xml:space="preserve"> </w:t>
      </w:r>
      <w:r>
        <w:t xml:space="preserve">is recurrent, particularly in cults and in popular skeptical literature. The expositor should be prepared to show briefly that Paul is distributing the</w:t>
      </w:r>
      <w:r>
        <w:t xml:space="preserve"> </w:t>
      </w:r>
      <w:r>
        <w:rPr>
          <w:i/>
          <w:iCs/>
        </w:rPr>
        <w:t xml:space="preserve">Shema</w:t>
      </w:r>
      <w:r>
        <w:t xml:space="preserve"> </w:t>
      </w:r>
      <w:r>
        <w:t xml:space="preserve">rather than creating a hierarchy — including Christ</w:t>
      </w:r>
      <w:r>
        <w:t xml:space="preserve"> </w:t>
      </w:r>
      <w:r>
        <w:rPr>
          <w:i/>
          <w:iCs/>
        </w:rPr>
        <w:t xml:space="preserve">within</w:t>
      </w:r>
      <w:r>
        <w:t xml:space="preserve"> </w:t>
      </w:r>
      <w:r>
        <w:t xml:space="preserve">divine identity, not ranking him beneath it. This need not dominate the sermon but must not be left unaddressed if the text is handled carefully.</w:t>
      </w:r>
    </w:p>
    <w:p>
      <w:pPr>
        <w:numPr>
          <w:ilvl w:val="0"/>
          <w:numId w:val="1002"/>
        </w:numPr>
      </w:pPr>
      <w:r>
        <w:rPr>
          <w:b/>
          <w:bCs/>
        </w:rPr>
        <w:t xml:space="preserve">Preaching verse 13 as Paul’s personal quirk rather than the passage’s intended model.</w:t>
      </w:r>
      <w:r>
        <w:t xml:space="preserve"> </w:t>
      </w:r>
      <w:r>
        <w:t xml:space="preserve">“I will never eat meat again”</w:t>
      </w:r>
      <w:r>
        <w:t xml:space="preserve"> </w:t>
      </w:r>
      <w:r>
        <w:t xml:space="preserve">is sometimes preached as an expression of Paul’s personal spiritual heroism — admirable but not necessarily expected of ordinary believers. This misses Paul’s rhetorical intent entirely: he is offering himself as the</w:t>
      </w:r>
      <w:r>
        <w:t xml:space="preserve"> </w:t>
      </w:r>
      <w:r>
        <w:rPr>
          <w:i/>
          <w:iCs/>
        </w:rPr>
        <w:t xml:space="preserve">model</w:t>
      </w:r>
      <w:r>
        <w:t xml:space="preserve"> </w:t>
      </w:r>
      <w:r>
        <w:t xml:space="preserve">for what love in this passage looks like in practice. The personal resolve of verse 13 is the application Paul intends the reader to receive and imitate, calibrated to their own circumstances.</w:t>
      </w:r>
    </w:p>
    <w:p>
      <w:pPr>
        <w:numPr>
          <w:ilvl w:val="0"/>
          <w:numId w:val="1002"/>
        </w:numPr>
      </w:pPr>
      <w:r>
        <w:rPr>
          <w:b/>
          <w:bCs/>
        </w:rPr>
        <w:t xml:space="preserve">Leaving the passage in the first century.</w:t>
      </w:r>
      <w:r>
        <w:t xml:space="preserve"> </w:t>
      </w:r>
      <w:r>
        <w:t xml:space="preserve">The passage cannot simply be</w:t>
      </w:r>
      <w:r>
        <w:t xml:space="preserve"> </w:t>
      </w:r>
      <w:r>
        <w:t xml:space="preserve">“applied”</w:t>
      </w:r>
      <w:r>
        <w:t xml:space="preserve"> </w:t>
      </w:r>
      <w:r>
        <w:t xml:space="preserve">by swapping</w:t>
      </w:r>
      <w:r>
        <w:t xml:space="preserve"> </w:t>
      </w:r>
      <w:r>
        <w:t xml:space="preserve">“meat sacrificed to idols”</w:t>
      </w:r>
      <w:r>
        <w:t xml:space="preserve"> </w:t>
      </w:r>
      <w:r>
        <w:t xml:space="preserve">for a contemporary equivalent and calling it done. The expositor must show that the</w:t>
      </w:r>
      <w:r>
        <w:t xml:space="preserve"> </w:t>
      </w:r>
      <w:r>
        <w:rPr>
          <w:i/>
          <w:iCs/>
        </w:rPr>
        <w:t xml:space="preserve">structure</w:t>
      </w:r>
      <w:r>
        <w:t xml:space="preserve"> </w:t>
      </w:r>
      <w:r>
        <w:t xml:space="preserve">of the problem — theological freedom claimed in a context that damages the spiritually vulnerable — recurs in every generation and takes different forms in different communities. The congregation needs to do the work of identifying their specific version of the Corinthian situation, not simply receive an ancient case study.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2026-07-14T21:07:57Z</dcterms:created>
  <dcterms:modified xsi:type="dcterms:W3CDTF">2026-07-14T21:07:57Z</dcterms:modified>
</cp:coreProperties>
</file>

<file path=docProps/custom.xml><?xml version="1.0" encoding="utf-8"?>
<Properties xmlns="http://schemas.openxmlformats.org/officeDocument/2006/custom-properties" xmlns:vt="http://schemas.openxmlformats.org/officeDocument/2006/docPropsVTypes"/>
</file>